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E019D58" w:rsidR="00466CA2" w:rsidRPr="00466CA2" w:rsidRDefault="00466CA2" w:rsidP="009660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9660F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6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52CD816" w14:textId="36BE2269" w:rsidR="00A41A9F" w:rsidRPr="004B44C3" w:rsidRDefault="009212A9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11</w:t>
      </w:r>
      <w:r w:rsidR="00A41A9F">
        <w:rPr>
          <w:rFonts w:eastAsia="MS Mincho" w:cs="Arial"/>
          <w:color w:val="000000"/>
          <w:sz w:val="32"/>
          <w:szCs w:val="32"/>
          <w:lang w:val="cs-CZ" w:eastAsia="ja-JP"/>
        </w:rPr>
        <w:t>8</w:t>
      </w:r>
      <w:r w:rsidR="00A41A9F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-</w:t>
      </w:r>
      <w:r w:rsidR="00A41A9F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EGOVERNMENT- DIA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-</w:t>
      </w:r>
      <w:r w:rsidR="00974276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SC</w:t>
      </w:r>
      <w:r w:rsidR="00A41A9F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</w:t>
      </w:r>
      <w:r w:rsidR="002E7F0B">
        <w:rPr>
          <w:rFonts w:eastAsia="MS Mincho" w:cs="Arial"/>
          <w:color w:val="000000"/>
          <w:sz w:val="32"/>
          <w:szCs w:val="32"/>
          <w:lang w:val="cs-CZ" w:eastAsia="ja-JP"/>
        </w:rPr>
        <w:t>Č</w:t>
      </w:r>
      <w:r w:rsidR="00A41A9F" w:rsidRPr="004B44C3">
        <w:rPr>
          <w:rFonts w:eastAsia="MS Mincho" w:cs="Arial"/>
          <w:color w:val="000000"/>
          <w:sz w:val="32"/>
          <w:szCs w:val="32"/>
          <w:lang w:val="cs-CZ" w:eastAsia="ja-JP"/>
        </w:rPr>
        <w:t>R)</w:t>
      </w:r>
    </w:p>
    <w:p w14:paraId="54C96F01" w14:textId="1F0E200B" w:rsidR="00466CA2" w:rsidRPr="00443446" w:rsidRDefault="00466CA2" w:rsidP="009660F9">
      <w:pPr>
        <w:spacing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626F4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2C8F7B18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>) prostřednictvím Informačního systému datových schránek (ID DS:</w:t>
      </w:r>
      <w:r w:rsidR="008B5A71">
        <w:rPr>
          <w:rFonts w:cs="Arial"/>
          <w:lang w:val="cs-CZ"/>
        </w:rPr>
        <w:t xml:space="preserve"> </w:t>
      </w:r>
      <w:r w:rsidR="008672FF" w:rsidRPr="0096119B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7BF01471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Pr="00FB5083">
        <w:rPr>
          <w:rFonts w:cs="Arial"/>
          <w:b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5D53B444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F10D80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54C96F08" w14:textId="56DAB572" w:rsidR="00C67B70" w:rsidRPr="00845242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45242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E35ED9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8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9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2DBE143B" w:rsidR="0054167B" w:rsidRPr="00BF2213" w:rsidRDefault="0054167B" w:rsidP="60E29485">
      <w:pPr>
        <w:pStyle w:val="Odstavecseseznamem"/>
        <w:ind w:left="0"/>
        <w:rPr>
          <w:rFonts w:cs="Arial"/>
          <w:lang w:val="cs-CZ"/>
        </w:rPr>
      </w:pPr>
      <w:r w:rsidRPr="60E29485">
        <w:rPr>
          <w:rFonts w:cs="Arial"/>
          <w:lang w:val="cs-CZ"/>
        </w:rPr>
        <w:t xml:space="preserve">Architektura </w:t>
      </w:r>
      <w:r w:rsidR="00044C8D" w:rsidRPr="60E29485">
        <w:rPr>
          <w:rFonts w:cs="Arial"/>
          <w:lang w:val="cs-CZ"/>
        </w:rPr>
        <w:t xml:space="preserve">předloženého </w:t>
      </w:r>
      <w:r w:rsidRPr="60E29485">
        <w:rPr>
          <w:rFonts w:cs="Arial"/>
          <w:lang w:val="cs-CZ"/>
        </w:rPr>
        <w:t>projektu</w:t>
      </w:r>
      <w:r w:rsidR="00044C8D" w:rsidRPr="60E29485">
        <w:rPr>
          <w:rFonts w:cs="Arial"/>
          <w:lang w:val="cs-CZ"/>
        </w:rPr>
        <w:t xml:space="preserve"> musí odpovídat</w:t>
      </w:r>
      <w:r w:rsidRPr="60E29485">
        <w:rPr>
          <w:rFonts w:cs="Arial"/>
          <w:lang w:val="cs-CZ"/>
        </w:rPr>
        <w:t xml:space="preserve"> požadavkům </w:t>
      </w:r>
      <w:r w:rsidR="00475BCF" w:rsidRPr="60E29485">
        <w:rPr>
          <w:rFonts w:cs="Arial"/>
          <w:lang w:val="cs-CZ"/>
        </w:rPr>
        <w:t>Národního architektonického plánu</w:t>
      </w:r>
      <w:r w:rsidRPr="60E29485">
        <w:rPr>
          <w:rFonts w:cs="Arial"/>
          <w:lang w:val="cs-CZ"/>
        </w:rPr>
        <w:t xml:space="preserve"> a Národního architektonického rámce. Postihuje relevantní díl všech struktur a vztahů architektury úřadu</w:t>
      </w:r>
      <w:r w:rsidR="00444D67">
        <w:rPr>
          <w:rStyle w:val="Znakapoznpodarou"/>
          <w:rFonts w:cs="Arial"/>
          <w:lang w:val="cs-CZ"/>
        </w:rPr>
        <w:footnoteReference w:id="2"/>
      </w:r>
      <w:r w:rsidRPr="60E29485">
        <w:rPr>
          <w:rFonts w:cs="Arial"/>
          <w:lang w:val="cs-CZ"/>
        </w:rPr>
        <w:t xml:space="preserve">, zahrnutých do projektu nebo s ním bezprostředně souvisejících. Úkolem </w:t>
      </w:r>
      <w:r w:rsidR="00475BCF" w:rsidRPr="60E29485">
        <w:rPr>
          <w:rFonts w:cs="Arial"/>
          <w:lang w:val="cs-CZ"/>
        </w:rPr>
        <w:t xml:space="preserve">žadatele </w:t>
      </w:r>
      <w:r w:rsidRPr="60E29485">
        <w:rPr>
          <w:rFonts w:cs="Arial"/>
          <w:lang w:val="cs-CZ"/>
        </w:rPr>
        <w:t>je v této architektuře představit prvky řešení na všech vrstvách tzv. čtyřvrstvé vize architektury eGovernmentu</w:t>
      </w:r>
      <w:r w:rsidRPr="60E29485">
        <w:rPr>
          <w:rFonts w:cs="Arial"/>
          <w:vertAlign w:val="superscript"/>
          <w:lang w:val="cs-CZ"/>
        </w:rPr>
        <w:footnoteReference w:id="3"/>
      </w:r>
      <w:r w:rsidRPr="60E29485">
        <w:rPr>
          <w:rFonts w:cs="Arial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1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23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2635" w14:textId="77777777" w:rsidR="008173F7" w:rsidRDefault="008173F7" w:rsidP="0054167B">
      <w:pPr>
        <w:spacing w:before="0" w:after="0" w:line="240" w:lineRule="auto"/>
      </w:pPr>
      <w:r>
        <w:separator/>
      </w:r>
    </w:p>
  </w:endnote>
  <w:endnote w:type="continuationSeparator" w:id="0">
    <w:p w14:paraId="25F622BD" w14:textId="77777777" w:rsidR="008173F7" w:rsidRDefault="008173F7" w:rsidP="0054167B">
      <w:pPr>
        <w:spacing w:before="0" w:after="0" w:line="240" w:lineRule="auto"/>
      </w:pPr>
      <w:r>
        <w:continuationSeparator/>
      </w:r>
    </w:p>
  </w:endnote>
  <w:endnote w:type="continuationNotice" w:id="1">
    <w:p w14:paraId="76B5E82A" w14:textId="77777777" w:rsidR="008173F7" w:rsidRDefault="008173F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E30B" w14:textId="77777777" w:rsidR="008173F7" w:rsidRDefault="008173F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0238F9CE" w14:textId="77777777" w:rsidR="008173F7" w:rsidRDefault="008173F7" w:rsidP="0054167B">
      <w:pPr>
        <w:spacing w:before="0" w:after="0" w:line="240" w:lineRule="auto"/>
      </w:pPr>
      <w:r>
        <w:continuationSeparator/>
      </w:r>
    </w:p>
  </w:footnote>
  <w:footnote w:type="continuationNotice" w:id="1">
    <w:p w14:paraId="0626A561" w14:textId="77777777" w:rsidR="008173F7" w:rsidRDefault="008173F7">
      <w:pPr>
        <w:spacing w:before="0" w:after="0" w:line="240" w:lineRule="auto"/>
      </w:pPr>
    </w:p>
  </w:footnote>
  <w:footnote w:id="2">
    <w:p w14:paraId="03AFD8A8" w14:textId="64919415" w:rsidR="00444D67" w:rsidRDefault="00444D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B5A71">
        <w:rPr>
          <w:rFonts w:ascii="Arial" w:hAnsi="Arial" w:cs="Arial"/>
          <w:sz w:val="18"/>
          <w:szCs w:val="18"/>
        </w:rPr>
        <w:t>Viz</w:t>
      </w:r>
      <w:r w:rsidRPr="008B5A71" w:rsidDel="00DD548D">
        <w:rPr>
          <w:rFonts w:ascii="Arial" w:hAnsi="Arial" w:cs="Arial"/>
          <w:sz w:val="18"/>
          <w:szCs w:val="18"/>
        </w:rPr>
        <w:t xml:space="preserve"> </w:t>
      </w:r>
      <w:r w:rsidRPr="008B5A71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8B5A71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  <w:footnote w:id="3">
    <w:p w14:paraId="54C96F52" w14:textId="3FEACCC2" w:rsidR="0054167B" w:rsidRPr="008B5A71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1ECEF41A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04774FCF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7340FA4B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CD1DA9D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19BCBF62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703D5AD0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57284"/>
    <w:rsid w:val="00073D9F"/>
    <w:rsid w:val="00080317"/>
    <w:rsid w:val="00091B89"/>
    <w:rsid w:val="000A7008"/>
    <w:rsid w:val="000D2C80"/>
    <w:rsid w:val="000F7795"/>
    <w:rsid w:val="00114F20"/>
    <w:rsid w:val="001505D9"/>
    <w:rsid w:val="00163E62"/>
    <w:rsid w:val="00170CB0"/>
    <w:rsid w:val="001B0DFC"/>
    <w:rsid w:val="001D37C1"/>
    <w:rsid w:val="001E2DBF"/>
    <w:rsid w:val="00217C57"/>
    <w:rsid w:val="002432A3"/>
    <w:rsid w:val="002846E2"/>
    <w:rsid w:val="00287AF5"/>
    <w:rsid w:val="00296DDD"/>
    <w:rsid w:val="002C2209"/>
    <w:rsid w:val="002C676E"/>
    <w:rsid w:val="002E7F0B"/>
    <w:rsid w:val="00321F1B"/>
    <w:rsid w:val="003626F4"/>
    <w:rsid w:val="0037035A"/>
    <w:rsid w:val="003714C8"/>
    <w:rsid w:val="003836E0"/>
    <w:rsid w:val="003B0A8A"/>
    <w:rsid w:val="003C0549"/>
    <w:rsid w:val="004362A2"/>
    <w:rsid w:val="00444D67"/>
    <w:rsid w:val="00466CA2"/>
    <w:rsid w:val="00475BCF"/>
    <w:rsid w:val="004938DD"/>
    <w:rsid w:val="004B44C3"/>
    <w:rsid w:val="004E034C"/>
    <w:rsid w:val="004E1260"/>
    <w:rsid w:val="004F3FBC"/>
    <w:rsid w:val="0054167B"/>
    <w:rsid w:val="00550DA7"/>
    <w:rsid w:val="00575AD3"/>
    <w:rsid w:val="005A3492"/>
    <w:rsid w:val="005C047A"/>
    <w:rsid w:val="005E380C"/>
    <w:rsid w:val="005F5E13"/>
    <w:rsid w:val="006274DF"/>
    <w:rsid w:val="006B6184"/>
    <w:rsid w:val="006B66F4"/>
    <w:rsid w:val="00723C92"/>
    <w:rsid w:val="007317BF"/>
    <w:rsid w:val="007605FA"/>
    <w:rsid w:val="00767A3D"/>
    <w:rsid w:val="00792295"/>
    <w:rsid w:val="00792939"/>
    <w:rsid w:val="007B120D"/>
    <w:rsid w:val="007B26BF"/>
    <w:rsid w:val="007D3279"/>
    <w:rsid w:val="007E339D"/>
    <w:rsid w:val="007F293B"/>
    <w:rsid w:val="007F6FF3"/>
    <w:rsid w:val="008173F7"/>
    <w:rsid w:val="0082068F"/>
    <w:rsid w:val="00837B89"/>
    <w:rsid w:val="00845242"/>
    <w:rsid w:val="008465F1"/>
    <w:rsid w:val="00862B76"/>
    <w:rsid w:val="008672FF"/>
    <w:rsid w:val="00881458"/>
    <w:rsid w:val="008912EC"/>
    <w:rsid w:val="008A00F9"/>
    <w:rsid w:val="008A0E38"/>
    <w:rsid w:val="008A4DF0"/>
    <w:rsid w:val="008B48FD"/>
    <w:rsid w:val="008B5A71"/>
    <w:rsid w:val="008B644D"/>
    <w:rsid w:val="008B6B73"/>
    <w:rsid w:val="009212A9"/>
    <w:rsid w:val="00927AA8"/>
    <w:rsid w:val="00937A8A"/>
    <w:rsid w:val="00955376"/>
    <w:rsid w:val="0096119B"/>
    <w:rsid w:val="009635C2"/>
    <w:rsid w:val="009660F9"/>
    <w:rsid w:val="00970376"/>
    <w:rsid w:val="00974276"/>
    <w:rsid w:val="009B4312"/>
    <w:rsid w:val="00A04760"/>
    <w:rsid w:val="00A137E3"/>
    <w:rsid w:val="00A41A9F"/>
    <w:rsid w:val="00A46B1F"/>
    <w:rsid w:val="00A606A6"/>
    <w:rsid w:val="00A626E4"/>
    <w:rsid w:val="00A8594D"/>
    <w:rsid w:val="00A94727"/>
    <w:rsid w:val="00AA4ED6"/>
    <w:rsid w:val="00AC2A6C"/>
    <w:rsid w:val="00AD55D6"/>
    <w:rsid w:val="00AF03C1"/>
    <w:rsid w:val="00B0435E"/>
    <w:rsid w:val="00B80465"/>
    <w:rsid w:val="00BB2682"/>
    <w:rsid w:val="00BE65DE"/>
    <w:rsid w:val="00BE67AF"/>
    <w:rsid w:val="00BF2213"/>
    <w:rsid w:val="00C34A95"/>
    <w:rsid w:val="00C439B9"/>
    <w:rsid w:val="00C67B70"/>
    <w:rsid w:val="00C7389E"/>
    <w:rsid w:val="00C87D8F"/>
    <w:rsid w:val="00CB22A1"/>
    <w:rsid w:val="00CF7C92"/>
    <w:rsid w:val="00D30547"/>
    <w:rsid w:val="00D422DD"/>
    <w:rsid w:val="00D72BD5"/>
    <w:rsid w:val="00D742EE"/>
    <w:rsid w:val="00DE70EF"/>
    <w:rsid w:val="00E325AC"/>
    <w:rsid w:val="00E35ED9"/>
    <w:rsid w:val="00EB42DB"/>
    <w:rsid w:val="00EC3518"/>
    <w:rsid w:val="00EE57C1"/>
    <w:rsid w:val="00F10796"/>
    <w:rsid w:val="00F10D80"/>
    <w:rsid w:val="00F64F1B"/>
    <w:rsid w:val="00F774FA"/>
    <w:rsid w:val="00F80BE9"/>
    <w:rsid w:val="00FA3A3B"/>
    <w:rsid w:val="00FB0D6E"/>
    <w:rsid w:val="00FB5083"/>
    <w:rsid w:val="00FD3429"/>
    <w:rsid w:val="00FD3E4C"/>
    <w:rsid w:val="00FD7211"/>
    <w:rsid w:val="00FF0A72"/>
    <w:rsid w:val="15A3A4BF"/>
    <w:rsid w:val="1D631CFE"/>
    <w:rsid w:val="1ECF1272"/>
    <w:rsid w:val="344A68D6"/>
    <w:rsid w:val="4CC546E0"/>
    <w:rsid w:val="51B31FE1"/>
    <w:rsid w:val="60E29485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p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archi.gov.cz/nar_dokumen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2.opengroup.org/ogsys/catalog/S142" TargetMode="External"/><Relationship Id="rId28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yperlink" Target="https://archi.gov.cz/uvod_schvalovan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archimatetool.com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Gestor xmlns="96f83003-48fd-4f52-836f-d78a4dd9c06d">
      <UserInfo>
        <DisplayName/>
        <AccountId xsi:nil="true"/>
        <AccountType/>
      </UserInfo>
    </Gestor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openxmlformats.org/package/2006/metadata/core-properties"/>
    <ds:schemaRef ds:uri="38a97ebd-7b55-4e0a-b11e-b1f20907ee6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0F03938-9200-487C-A8E0-B49F61288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B7FDF-9E11-4B1C-A5BE-DBC3A938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1200</Words>
  <Characters>7082</Characters>
  <Application>Microsoft Office Word</Application>
  <DocSecurity>0</DocSecurity>
  <Lines>59</Lines>
  <Paragraphs>16</Paragraphs>
  <ScaleCrop>false</ScaleCrop>
  <Company>Ministerstvo pro místní rozvoj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14</cp:revision>
  <dcterms:created xsi:type="dcterms:W3CDTF">2022-05-31T06:49:00Z</dcterms:created>
  <dcterms:modified xsi:type="dcterms:W3CDTF">2025-09-03T11:17:00Z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